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592"/>
        <w:gridCol w:w="2708"/>
        <w:gridCol w:w="2709"/>
        <w:gridCol w:w="2709"/>
        <w:gridCol w:w="2709"/>
        <w:gridCol w:w="3161"/>
      </w:tblGrid>
      <w:tr w:rsidR="00A40EDC" w:rsidRPr="00CB7105" w14:paraId="732114D7" w14:textId="77777777" w:rsidTr="004F5D43">
        <w:trPr>
          <w:tblHeader/>
        </w:trPr>
        <w:tc>
          <w:tcPr>
            <w:tcW w:w="1271" w:type="dxa"/>
            <w:vMerge w:val="restart"/>
            <w:vAlign w:val="center"/>
          </w:tcPr>
          <w:p w14:paraId="54144498" w14:textId="77777777" w:rsidR="00A40EDC" w:rsidRPr="00CB7105" w:rsidRDefault="00A40EDC" w:rsidP="004F5D43">
            <w:pPr>
              <w:spacing w:line="0" w:lineRule="atLeast"/>
              <w:jc w:val="center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疾</w:t>
            </w:r>
            <w:r w:rsidRPr="00CB7105">
              <w:rPr>
                <w:rFonts w:eastAsia="標楷體" w:cstheme="minorHAnsi"/>
                <w:b/>
              </w:rPr>
              <w:t xml:space="preserve"> </w:t>
            </w:r>
            <w:r w:rsidRPr="00CB7105">
              <w:rPr>
                <w:rFonts w:eastAsia="標楷體" w:cstheme="minorHAnsi"/>
                <w:b/>
              </w:rPr>
              <w:t>病</w:t>
            </w:r>
            <w:r w:rsidRPr="00CB7105">
              <w:rPr>
                <w:rFonts w:eastAsia="標楷體" w:cstheme="minorHAnsi"/>
                <w:b/>
              </w:rPr>
              <w:t xml:space="preserve"> </w:t>
            </w:r>
            <w:r w:rsidRPr="00CB7105">
              <w:rPr>
                <w:rFonts w:eastAsia="標楷體" w:cstheme="minorHAnsi"/>
                <w:b/>
              </w:rPr>
              <w:t>別</w:t>
            </w:r>
            <w:r w:rsidRPr="00CB7105">
              <w:rPr>
                <w:rFonts w:eastAsia="標楷體" w:cstheme="minorHAnsi"/>
                <w:b/>
              </w:rPr>
              <w:t>/</w:t>
            </w:r>
            <w:r w:rsidRPr="00CB7105">
              <w:rPr>
                <w:rFonts w:eastAsia="標楷體" w:cstheme="minorHAnsi"/>
                <w:b/>
              </w:rPr>
              <w:t>處置原則</w:t>
            </w:r>
          </w:p>
        </w:tc>
        <w:tc>
          <w:tcPr>
            <w:tcW w:w="8647" w:type="dxa"/>
            <w:gridSpan w:val="4"/>
            <w:vAlign w:val="center"/>
          </w:tcPr>
          <w:p w14:paraId="28985D27" w14:textId="77777777" w:rsidR="00A40EDC" w:rsidRPr="00CB7105" w:rsidRDefault="00A40EDC" w:rsidP="004F5D43">
            <w:pPr>
              <w:spacing w:line="0" w:lineRule="atLeast"/>
              <w:jc w:val="center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風險等級</w:t>
            </w:r>
          </w:p>
        </w:tc>
        <w:tc>
          <w:tcPr>
            <w:tcW w:w="2523" w:type="dxa"/>
            <w:vMerge w:val="restart"/>
            <w:vAlign w:val="center"/>
          </w:tcPr>
          <w:p w14:paraId="783A6427" w14:textId="77777777" w:rsidR="00A40EDC" w:rsidRPr="00CB7105" w:rsidRDefault="00A40EDC" w:rsidP="004F5D43">
            <w:pPr>
              <w:spacing w:line="0" w:lineRule="atLeast"/>
              <w:jc w:val="center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航</w:t>
            </w:r>
            <w:proofErr w:type="gramStart"/>
            <w:r w:rsidRPr="00CB7105">
              <w:rPr>
                <w:rFonts w:eastAsia="標楷體" w:cstheme="minorHAnsi"/>
                <w:b/>
              </w:rPr>
              <w:t>醫</w:t>
            </w:r>
            <w:proofErr w:type="gramEnd"/>
            <w:r w:rsidRPr="00CB7105">
              <w:rPr>
                <w:rFonts w:eastAsia="標楷體" w:cstheme="minorHAnsi"/>
                <w:b/>
              </w:rPr>
              <w:t>考量</w:t>
            </w:r>
          </w:p>
        </w:tc>
      </w:tr>
      <w:tr w:rsidR="00A40EDC" w:rsidRPr="00CB7105" w14:paraId="35897F2A" w14:textId="77777777" w:rsidTr="004F5D43">
        <w:trPr>
          <w:tblHeader/>
        </w:trPr>
        <w:tc>
          <w:tcPr>
            <w:tcW w:w="1271" w:type="dxa"/>
            <w:vMerge/>
            <w:vAlign w:val="center"/>
          </w:tcPr>
          <w:p w14:paraId="572972DE" w14:textId="77777777" w:rsidR="00A40EDC" w:rsidRPr="00CB7105" w:rsidRDefault="00A40EDC" w:rsidP="004F5D43">
            <w:pPr>
              <w:spacing w:line="0" w:lineRule="atLeast"/>
              <w:jc w:val="center"/>
              <w:rPr>
                <w:rFonts w:eastAsia="標楷體" w:cstheme="minorHAnsi"/>
              </w:rPr>
            </w:pPr>
          </w:p>
        </w:tc>
        <w:tc>
          <w:tcPr>
            <w:tcW w:w="2161" w:type="dxa"/>
            <w:vAlign w:val="center"/>
          </w:tcPr>
          <w:p w14:paraId="6C2884BD" w14:textId="77777777" w:rsidR="00A40EDC" w:rsidRPr="00CB7105" w:rsidRDefault="00A40EDC" w:rsidP="004F5D43">
            <w:pPr>
              <w:spacing w:line="0" w:lineRule="atLeast"/>
              <w:jc w:val="center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第</w:t>
            </w:r>
            <w:r w:rsidRPr="00CB7105">
              <w:rPr>
                <w:rFonts w:eastAsia="標楷體" w:cstheme="minorHAnsi"/>
                <w:b/>
              </w:rPr>
              <w:t>1</w:t>
            </w:r>
            <w:r w:rsidRPr="00CB7105">
              <w:rPr>
                <w:rFonts w:eastAsia="標楷體" w:cstheme="minorHAnsi"/>
                <w:b/>
              </w:rPr>
              <w:t>級</w:t>
            </w:r>
            <w:r w:rsidRPr="00CB7105">
              <w:rPr>
                <w:rFonts w:eastAsia="標楷體" w:cstheme="minorHAnsi"/>
                <w:b/>
              </w:rPr>
              <w:t>/</w:t>
            </w:r>
          </w:p>
          <w:p w14:paraId="69793B8C" w14:textId="77777777" w:rsidR="00A40EDC" w:rsidRPr="00CB7105" w:rsidRDefault="00A40EDC" w:rsidP="004F5D43">
            <w:pPr>
              <w:spacing w:line="0" w:lineRule="atLeast"/>
              <w:jc w:val="center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建議追蹤</w:t>
            </w:r>
          </w:p>
        </w:tc>
        <w:tc>
          <w:tcPr>
            <w:tcW w:w="2162" w:type="dxa"/>
            <w:vAlign w:val="center"/>
          </w:tcPr>
          <w:p w14:paraId="6AEE517C" w14:textId="77777777" w:rsidR="00A40EDC" w:rsidRPr="00CB7105" w:rsidRDefault="00A40EDC" w:rsidP="004F5D43">
            <w:pPr>
              <w:spacing w:line="0" w:lineRule="atLeast"/>
              <w:jc w:val="center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第</w:t>
            </w:r>
            <w:r w:rsidRPr="00CB7105">
              <w:rPr>
                <w:rFonts w:eastAsia="標楷體" w:cstheme="minorHAnsi"/>
                <w:b/>
              </w:rPr>
              <w:t>2</w:t>
            </w:r>
            <w:r w:rsidRPr="00CB7105">
              <w:rPr>
                <w:rFonts w:eastAsia="標楷體" w:cstheme="minorHAnsi"/>
                <w:b/>
              </w:rPr>
              <w:t>級</w:t>
            </w:r>
            <w:r w:rsidRPr="00CB7105">
              <w:rPr>
                <w:rFonts w:eastAsia="標楷體" w:cstheme="minorHAnsi"/>
                <w:b/>
              </w:rPr>
              <w:t>/</w:t>
            </w:r>
          </w:p>
          <w:p w14:paraId="53B8E3E7" w14:textId="77777777" w:rsidR="00A40EDC" w:rsidRPr="00CB7105" w:rsidRDefault="00A40EDC" w:rsidP="004F5D43">
            <w:pPr>
              <w:spacing w:line="0" w:lineRule="atLeast"/>
              <w:jc w:val="center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複查</w:t>
            </w:r>
            <w:r w:rsidRPr="00CB7105">
              <w:rPr>
                <w:rFonts w:eastAsia="標楷體" w:cstheme="minorHAnsi"/>
                <w:b/>
              </w:rPr>
              <w:t>/</w:t>
            </w:r>
            <w:r w:rsidRPr="00CB7105">
              <w:rPr>
                <w:rFonts w:eastAsia="標楷體" w:cstheme="minorHAnsi"/>
                <w:b/>
              </w:rPr>
              <w:t>缺點免計</w:t>
            </w:r>
          </w:p>
        </w:tc>
        <w:tc>
          <w:tcPr>
            <w:tcW w:w="2162" w:type="dxa"/>
            <w:vAlign w:val="center"/>
          </w:tcPr>
          <w:p w14:paraId="770BF772" w14:textId="77777777" w:rsidR="00A40EDC" w:rsidRPr="00CB7105" w:rsidRDefault="00A40EDC" w:rsidP="004F5D43">
            <w:pPr>
              <w:spacing w:line="0" w:lineRule="atLeast"/>
              <w:jc w:val="center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第</w:t>
            </w:r>
            <w:r w:rsidRPr="00CB7105">
              <w:rPr>
                <w:rFonts w:eastAsia="標楷體" w:cstheme="minorHAnsi"/>
                <w:b/>
              </w:rPr>
              <w:t>3</w:t>
            </w:r>
            <w:r w:rsidRPr="00CB7105">
              <w:rPr>
                <w:rFonts w:eastAsia="標楷體" w:cstheme="minorHAnsi"/>
                <w:b/>
              </w:rPr>
              <w:t>級</w:t>
            </w:r>
            <w:r w:rsidRPr="00CB7105">
              <w:rPr>
                <w:rFonts w:eastAsia="標楷體" w:cstheme="minorHAnsi"/>
                <w:b/>
              </w:rPr>
              <w:t>/</w:t>
            </w:r>
          </w:p>
          <w:p w14:paraId="2120CB26" w14:textId="77777777" w:rsidR="00A40EDC" w:rsidRPr="00CB7105" w:rsidRDefault="00A40EDC" w:rsidP="004F5D43">
            <w:pPr>
              <w:spacing w:line="0" w:lineRule="atLeast"/>
              <w:jc w:val="center"/>
              <w:rPr>
                <w:rFonts w:eastAsia="標楷體" w:cstheme="minorHAnsi"/>
                <w:b/>
              </w:rPr>
            </w:pPr>
            <w:proofErr w:type="gramStart"/>
            <w:r w:rsidRPr="00CB7105">
              <w:rPr>
                <w:rFonts w:eastAsia="標楷體" w:cstheme="minorHAnsi"/>
                <w:b/>
              </w:rPr>
              <w:t>短證</w:t>
            </w:r>
            <w:proofErr w:type="gramEnd"/>
            <w:r w:rsidRPr="00CB7105">
              <w:rPr>
                <w:rFonts w:eastAsia="標楷體" w:cstheme="minorHAnsi"/>
                <w:b/>
              </w:rPr>
              <w:t>/</w:t>
            </w:r>
            <w:r w:rsidRPr="00CB7105">
              <w:rPr>
                <w:rFonts w:eastAsia="標楷體" w:cstheme="minorHAnsi"/>
                <w:b/>
              </w:rPr>
              <w:t>缺點免計</w:t>
            </w:r>
          </w:p>
        </w:tc>
        <w:tc>
          <w:tcPr>
            <w:tcW w:w="2162" w:type="dxa"/>
            <w:vAlign w:val="center"/>
          </w:tcPr>
          <w:p w14:paraId="021E38AA" w14:textId="77777777" w:rsidR="00A40EDC" w:rsidRPr="00CB7105" w:rsidRDefault="00A40EDC" w:rsidP="004F5D43">
            <w:pPr>
              <w:spacing w:line="0" w:lineRule="atLeast"/>
              <w:jc w:val="center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第</w:t>
            </w:r>
            <w:r w:rsidRPr="00CB7105">
              <w:rPr>
                <w:rFonts w:eastAsia="標楷體" w:cstheme="minorHAnsi"/>
                <w:b/>
              </w:rPr>
              <w:t>4</w:t>
            </w:r>
            <w:r w:rsidRPr="00CB7105">
              <w:rPr>
                <w:rFonts w:eastAsia="標楷體" w:cstheme="minorHAnsi"/>
                <w:b/>
              </w:rPr>
              <w:t>級</w:t>
            </w:r>
            <w:r w:rsidRPr="00CB7105">
              <w:rPr>
                <w:rFonts w:eastAsia="標楷體" w:cstheme="minorHAnsi"/>
                <w:b/>
              </w:rPr>
              <w:t>/</w:t>
            </w:r>
          </w:p>
          <w:p w14:paraId="5C708CA6" w14:textId="77777777" w:rsidR="00A40EDC" w:rsidRPr="00CB7105" w:rsidRDefault="00A40EDC" w:rsidP="004F5D43">
            <w:pPr>
              <w:spacing w:line="0" w:lineRule="atLeast"/>
              <w:jc w:val="center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停飛</w:t>
            </w:r>
          </w:p>
        </w:tc>
        <w:tc>
          <w:tcPr>
            <w:tcW w:w="2523" w:type="dxa"/>
            <w:vMerge/>
            <w:vAlign w:val="center"/>
          </w:tcPr>
          <w:p w14:paraId="64D0B3AA" w14:textId="77777777" w:rsidR="00A40EDC" w:rsidRPr="00CB7105" w:rsidRDefault="00A40EDC" w:rsidP="004F5D43">
            <w:pPr>
              <w:spacing w:line="0" w:lineRule="atLeast"/>
              <w:jc w:val="center"/>
              <w:rPr>
                <w:rFonts w:eastAsia="標楷體" w:cstheme="minorHAnsi"/>
              </w:rPr>
            </w:pPr>
          </w:p>
        </w:tc>
      </w:tr>
      <w:tr w:rsidR="00A40EDC" w:rsidRPr="00CB7105" w14:paraId="3D8B26E5" w14:textId="77777777" w:rsidTr="004F5D43">
        <w:tc>
          <w:tcPr>
            <w:tcW w:w="1271" w:type="dxa"/>
            <w:vAlign w:val="center"/>
          </w:tcPr>
          <w:p w14:paraId="76E03224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高血壓</w:t>
            </w:r>
          </w:p>
        </w:tc>
        <w:tc>
          <w:tcPr>
            <w:tcW w:w="2161" w:type="dxa"/>
            <w:vAlign w:val="center"/>
          </w:tcPr>
          <w:p w14:paraId="11F07EA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52376B9D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BP&gt;140/90</w:t>
            </w:r>
          </w:p>
          <w:p w14:paraId="3328408D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併</w:t>
            </w:r>
            <w:proofErr w:type="gramEnd"/>
            <w:r w:rsidRPr="00CB7105">
              <w:rPr>
                <w:rFonts w:eastAsia="標楷體" w:cstheme="minorHAnsi"/>
              </w:rPr>
              <w:t>藥物治療</w:t>
            </w:r>
          </w:p>
        </w:tc>
        <w:tc>
          <w:tcPr>
            <w:tcW w:w="2162" w:type="dxa"/>
            <w:vAlign w:val="center"/>
          </w:tcPr>
          <w:p w14:paraId="2A4124E2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2030CCC4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523" w:type="dxa"/>
            <w:vAlign w:val="center"/>
          </w:tcPr>
          <w:p w14:paraId="0B2C4CCE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心血管疾病風險</w:t>
            </w:r>
          </w:p>
        </w:tc>
      </w:tr>
      <w:tr w:rsidR="00A40EDC" w:rsidRPr="00CB7105" w14:paraId="0A063E8C" w14:textId="77777777" w:rsidTr="004F5D43">
        <w:trPr>
          <w:trHeight w:val="937"/>
        </w:trPr>
        <w:tc>
          <w:tcPr>
            <w:tcW w:w="1271" w:type="dxa"/>
            <w:vAlign w:val="center"/>
          </w:tcPr>
          <w:p w14:paraId="1E5FF18A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高血脂</w:t>
            </w:r>
          </w:p>
          <w:p w14:paraId="61C20682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(</w:t>
            </w:r>
            <w:r w:rsidRPr="00CB7105">
              <w:rPr>
                <w:rFonts w:eastAsia="標楷體" w:cstheme="minorHAnsi"/>
                <w:b/>
              </w:rPr>
              <w:t>膽固醇</w:t>
            </w:r>
            <w:r w:rsidRPr="00CB7105">
              <w:rPr>
                <w:rFonts w:eastAsia="標楷體" w:cstheme="minorHAnsi"/>
                <w:b/>
              </w:rPr>
              <w:t>)</w:t>
            </w:r>
          </w:p>
        </w:tc>
        <w:tc>
          <w:tcPr>
            <w:tcW w:w="2161" w:type="dxa"/>
            <w:vAlign w:val="center"/>
          </w:tcPr>
          <w:p w14:paraId="6B809F1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4064047B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 xml:space="preserve">TC &gt; 280mg/dL </w:t>
            </w:r>
            <w:r w:rsidRPr="00CB7105">
              <w:rPr>
                <w:rFonts w:eastAsia="標楷體" w:cstheme="minorHAnsi"/>
              </w:rPr>
              <w:t>或</w:t>
            </w:r>
          </w:p>
          <w:p w14:paraId="580CB554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LDL-C&gt;190mg/dL</w:t>
            </w:r>
          </w:p>
        </w:tc>
        <w:tc>
          <w:tcPr>
            <w:tcW w:w="2162" w:type="dxa"/>
            <w:vAlign w:val="center"/>
          </w:tcPr>
          <w:p w14:paraId="7A953EC3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4A95CA95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523" w:type="dxa"/>
            <w:vAlign w:val="center"/>
          </w:tcPr>
          <w:p w14:paraId="6F8986D3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心血管疾病風險</w:t>
            </w:r>
          </w:p>
        </w:tc>
      </w:tr>
      <w:tr w:rsidR="00A40EDC" w:rsidRPr="00CB7105" w14:paraId="7EAED292" w14:textId="77777777" w:rsidTr="004F5D43">
        <w:tc>
          <w:tcPr>
            <w:tcW w:w="1271" w:type="dxa"/>
            <w:vAlign w:val="center"/>
          </w:tcPr>
          <w:p w14:paraId="2C9A37EF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血糖過高</w:t>
            </w:r>
          </w:p>
        </w:tc>
        <w:tc>
          <w:tcPr>
            <w:tcW w:w="2161" w:type="dxa"/>
            <w:vAlign w:val="center"/>
          </w:tcPr>
          <w:p w14:paraId="336092B5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1AE8FD2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糖尿病</w:t>
            </w:r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用藥</w:t>
            </w:r>
            <w:r w:rsidRPr="00CB7105">
              <w:rPr>
                <w:rFonts w:eastAsia="標楷體" w:cstheme="minorHAnsi"/>
              </w:rPr>
              <w:t>)</w:t>
            </w:r>
          </w:p>
          <w:p w14:paraId="77447B02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 xml:space="preserve">FBS &gt; 126 mg/dL </w:t>
            </w:r>
            <w:r w:rsidRPr="00CB7105">
              <w:rPr>
                <w:rFonts w:eastAsia="標楷體" w:cstheme="minorHAnsi"/>
              </w:rPr>
              <w:t>或</w:t>
            </w:r>
          </w:p>
          <w:p w14:paraId="193004A0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 xml:space="preserve">PBS &gt; 200 mg/dL </w:t>
            </w:r>
            <w:r w:rsidRPr="00CB7105">
              <w:rPr>
                <w:rFonts w:eastAsia="標楷體" w:cstheme="minorHAnsi"/>
              </w:rPr>
              <w:t>或</w:t>
            </w:r>
          </w:p>
          <w:p w14:paraId="622E1C34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HbA1c &gt; 7.5%</w:t>
            </w:r>
          </w:p>
        </w:tc>
        <w:tc>
          <w:tcPr>
            <w:tcW w:w="2162" w:type="dxa"/>
            <w:vAlign w:val="center"/>
          </w:tcPr>
          <w:p w14:paraId="1DFCEBEE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0AF3D8AA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FBS &gt; 200 mg/dL</w:t>
            </w:r>
          </w:p>
          <w:p w14:paraId="47CBA502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或</w:t>
            </w:r>
          </w:p>
          <w:p w14:paraId="6A8620DB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HbA1c &gt; 9%</w:t>
            </w:r>
          </w:p>
        </w:tc>
        <w:tc>
          <w:tcPr>
            <w:tcW w:w="2523" w:type="dxa"/>
            <w:vAlign w:val="center"/>
          </w:tcPr>
          <w:p w14:paraId="36A75750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心血管疾病風險</w:t>
            </w:r>
          </w:p>
          <w:p w14:paraId="4CCD652A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突發性失能</w:t>
            </w:r>
            <w:proofErr w:type="gramEnd"/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低血糖</w:t>
            </w:r>
            <w:r w:rsidRPr="00CB7105">
              <w:rPr>
                <w:rFonts w:eastAsia="標楷體" w:cstheme="minorHAnsi"/>
              </w:rPr>
              <w:t>)</w:t>
            </w:r>
          </w:p>
        </w:tc>
      </w:tr>
      <w:tr w:rsidR="00A40EDC" w:rsidRPr="00CB7105" w14:paraId="73C0A781" w14:textId="77777777" w:rsidTr="004F5D43">
        <w:tc>
          <w:tcPr>
            <w:tcW w:w="1271" w:type="dxa"/>
            <w:vAlign w:val="center"/>
          </w:tcPr>
          <w:p w14:paraId="13D134D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體重過重</w:t>
            </w:r>
          </w:p>
        </w:tc>
        <w:tc>
          <w:tcPr>
            <w:tcW w:w="2161" w:type="dxa"/>
            <w:vAlign w:val="center"/>
          </w:tcPr>
          <w:p w14:paraId="5BE4AAB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439407A8" w14:textId="41A8FE39" w:rsidR="00A40EDC" w:rsidRPr="00CB7105" w:rsidRDefault="00A40EDC" w:rsidP="004F5D43">
            <w:pPr>
              <w:spacing w:line="0" w:lineRule="atLeast"/>
              <w:rPr>
                <w:rFonts w:eastAsia="標楷體" w:cstheme="minorHAnsi" w:hint="eastAsia"/>
              </w:rPr>
            </w:pPr>
            <w:r w:rsidRPr="00CB7105">
              <w:rPr>
                <w:rFonts w:eastAsia="標楷體" w:cstheme="minorHAnsi"/>
              </w:rPr>
              <w:t>BMI &gt; 32</w:t>
            </w:r>
          </w:p>
        </w:tc>
        <w:tc>
          <w:tcPr>
            <w:tcW w:w="2162" w:type="dxa"/>
            <w:vAlign w:val="center"/>
          </w:tcPr>
          <w:p w14:paraId="20F68DD4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2DABB0AB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523" w:type="dxa"/>
            <w:vAlign w:val="center"/>
          </w:tcPr>
          <w:p w14:paraId="2EA561DF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心血管疾病風險</w:t>
            </w:r>
          </w:p>
          <w:p w14:paraId="19A86202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睡眠呼吸中止症風險</w:t>
            </w:r>
          </w:p>
          <w:p w14:paraId="6BC4B0D4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疲勞風險</w:t>
            </w:r>
          </w:p>
        </w:tc>
      </w:tr>
      <w:tr w:rsidR="00A40EDC" w:rsidRPr="00CB7105" w14:paraId="398A2689" w14:textId="77777777" w:rsidTr="004F5D43">
        <w:tc>
          <w:tcPr>
            <w:tcW w:w="1271" w:type="dxa"/>
            <w:vAlign w:val="center"/>
          </w:tcPr>
          <w:p w14:paraId="40E6EEAF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肝功能異常</w:t>
            </w:r>
          </w:p>
        </w:tc>
        <w:tc>
          <w:tcPr>
            <w:tcW w:w="2161" w:type="dxa"/>
            <w:vAlign w:val="center"/>
          </w:tcPr>
          <w:p w14:paraId="765F7BEC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48221075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ALT &gt; 100 IU/L)</w:t>
            </w:r>
          </w:p>
        </w:tc>
        <w:tc>
          <w:tcPr>
            <w:tcW w:w="2162" w:type="dxa"/>
            <w:vAlign w:val="center"/>
          </w:tcPr>
          <w:p w14:paraId="5DDE3EEE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322115EA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ALT &gt; 200 IU/L)</w:t>
            </w:r>
          </w:p>
        </w:tc>
        <w:tc>
          <w:tcPr>
            <w:tcW w:w="2523" w:type="dxa"/>
            <w:vAlign w:val="center"/>
          </w:tcPr>
          <w:p w14:paraId="3A52899A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突發性失能</w:t>
            </w:r>
            <w:proofErr w:type="gramEnd"/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肝昏迷</w:t>
            </w:r>
            <w:r w:rsidRPr="00CB7105">
              <w:rPr>
                <w:rFonts w:eastAsia="標楷體" w:cstheme="minorHAnsi"/>
              </w:rPr>
              <w:t>)</w:t>
            </w:r>
          </w:p>
          <w:p w14:paraId="0B759963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疲勞風險</w:t>
            </w:r>
          </w:p>
        </w:tc>
      </w:tr>
      <w:tr w:rsidR="00A40EDC" w:rsidRPr="00CB7105" w14:paraId="2DC67F72" w14:textId="77777777" w:rsidTr="004F5D43">
        <w:tc>
          <w:tcPr>
            <w:tcW w:w="1271" w:type="dxa"/>
            <w:vAlign w:val="center"/>
          </w:tcPr>
          <w:p w14:paraId="03F518C2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膽結石</w:t>
            </w:r>
          </w:p>
        </w:tc>
        <w:tc>
          <w:tcPr>
            <w:tcW w:w="2161" w:type="dxa"/>
            <w:vAlign w:val="center"/>
          </w:tcPr>
          <w:p w14:paraId="6CC38CC9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膽結石</w:t>
            </w:r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無症狀</w:t>
            </w:r>
            <w:r w:rsidRPr="00CB7105">
              <w:rPr>
                <w:rFonts w:eastAsia="標楷體" w:cstheme="minorHAnsi"/>
              </w:rPr>
              <w:t>)</w:t>
            </w:r>
          </w:p>
        </w:tc>
        <w:tc>
          <w:tcPr>
            <w:tcW w:w="2162" w:type="dxa"/>
            <w:vAlign w:val="center"/>
          </w:tcPr>
          <w:p w14:paraId="24FCF1B5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16D17BCE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7D875983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膽結石</w:t>
            </w:r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需手術</w:t>
            </w:r>
            <w:r w:rsidRPr="00CB7105">
              <w:rPr>
                <w:rFonts w:eastAsia="標楷體" w:cstheme="minorHAnsi"/>
              </w:rPr>
              <w:t>)</w:t>
            </w:r>
          </w:p>
        </w:tc>
        <w:tc>
          <w:tcPr>
            <w:tcW w:w="2523" w:type="dxa"/>
            <w:vAlign w:val="center"/>
          </w:tcPr>
          <w:p w14:paraId="4C81E1F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突發性失能</w:t>
            </w:r>
            <w:proofErr w:type="gramEnd"/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膽絞痛</w:t>
            </w:r>
            <w:r w:rsidRPr="00CB7105">
              <w:rPr>
                <w:rFonts w:eastAsia="標楷體" w:cstheme="minorHAnsi"/>
              </w:rPr>
              <w:t>)</w:t>
            </w:r>
          </w:p>
        </w:tc>
      </w:tr>
      <w:tr w:rsidR="00A40EDC" w:rsidRPr="00CB7105" w14:paraId="450E87A2" w14:textId="77777777" w:rsidTr="004F5D43">
        <w:tc>
          <w:tcPr>
            <w:tcW w:w="1271" w:type="dxa"/>
            <w:vAlign w:val="center"/>
          </w:tcPr>
          <w:p w14:paraId="3314138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腎結石</w:t>
            </w:r>
          </w:p>
        </w:tc>
        <w:tc>
          <w:tcPr>
            <w:tcW w:w="2161" w:type="dxa"/>
            <w:vAlign w:val="center"/>
          </w:tcPr>
          <w:p w14:paraId="243DF71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腎結石</w:t>
            </w:r>
            <w:proofErr w:type="gramStart"/>
            <w:r w:rsidRPr="00CB7105">
              <w:rPr>
                <w:rFonts w:ascii="標楷體" w:eastAsia="標楷體" w:hAnsi="標楷體" w:cstheme="minorHAnsi" w:hint="eastAsia"/>
              </w:rPr>
              <w:t>﹥</w:t>
            </w:r>
            <w:proofErr w:type="gramEnd"/>
            <w:r w:rsidRPr="00CB7105">
              <w:rPr>
                <w:rFonts w:ascii="標楷體" w:eastAsia="標楷體" w:hAnsi="標楷體" w:cstheme="minorHAnsi" w:hint="eastAsia"/>
              </w:rPr>
              <w:t>0.4 cm</w:t>
            </w:r>
          </w:p>
        </w:tc>
        <w:tc>
          <w:tcPr>
            <w:tcW w:w="2162" w:type="dxa"/>
            <w:vAlign w:val="center"/>
          </w:tcPr>
          <w:p w14:paraId="783CE70C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5378B251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585DAA1C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腎結石</w:t>
            </w:r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需手術</w:t>
            </w:r>
            <w:r w:rsidRPr="00CB7105">
              <w:rPr>
                <w:rFonts w:eastAsia="標楷體" w:cstheme="minorHAnsi"/>
              </w:rPr>
              <w:t>)</w:t>
            </w:r>
          </w:p>
        </w:tc>
        <w:tc>
          <w:tcPr>
            <w:tcW w:w="2523" w:type="dxa"/>
            <w:vAlign w:val="center"/>
          </w:tcPr>
          <w:p w14:paraId="1C53E87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突發性失能</w:t>
            </w:r>
            <w:proofErr w:type="gramEnd"/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腎絞痛</w:t>
            </w:r>
            <w:r w:rsidRPr="00CB7105">
              <w:rPr>
                <w:rFonts w:eastAsia="標楷體" w:cstheme="minorHAnsi"/>
              </w:rPr>
              <w:t>)</w:t>
            </w:r>
          </w:p>
          <w:p w14:paraId="5A09CD1C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腎功能惡化風險</w:t>
            </w:r>
          </w:p>
        </w:tc>
      </w:tr>
      <w:tr w:rsidR="00A40EDC" w:rsidRPr="00CB7105" w14:paraId="109D03C9" w14:textId="77777777" w:rsidTr="004F5D43">
        <w:tc>
          <w:tcPr>
            <w:tcW w:w="1271" w:type="dxa"/>
            <w:vAlign w:val="center"/>
          </w:tcPr>
          <w:p w14:paraId="5976313C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尿酸過高</w:t>
            </w:r>
          </w:p>
        </w:tc>
        <w:tc>
          <w:tcPr>
            <w:tcW w:w="2161" w:type="dxa"/>
            <w:vAlign w:val="center"/>
          </w:tcPr>
          <w:p w14:paraId="264BAD68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404823C2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U.A. &gt; 1</w:t>
            </w:r>
            <w:r w:rsidRPr="00CB7105">
              <w:rPr>
                <w:rFonts w:eastAsia="標楷體" w:cstheme="minorHAnsi" w:hint="eastAsia"/>
              </w:rPr>
              <w:t xml:space="preserve">1 </w:t>
            </w:r>
            <w:r w:rsidRPr="00CB7105">
              <w:rPr>
                <w:rFonts w:eastAsia="標楷體" w:cstheme="minorHAnsi"/>
              </w:rPr>
              <w:t>mg/dL</w:t>
            </w:r>
          </w:p>
        </w:tc>
        <w:tc>
          <w:tcPr>
            <w:tcW w:w="2162" w:type="dxa"/>
            <w:vAlign w:val="center"/>
          </w:tcPr>
          <w:p w14:paraId="2A908D10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06807283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523" w:type="dxa"/>
            <w:vAlign w:val="center"/>
          </w:tcPr>
          <w:p w14:paraId="08B5BAF3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心血管疾病風險</w:t>
            </w:r>
          </w:p>
          <w:p w14:paraId="3ED1A7F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腎功能惡化風險</w:t>
            </w:r>
          </w:p>
          <w:p w14:paraId="0C255E3D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 w:hint="eastAsia"/>
              </w:rPr>
              <w:t>急性失能風險</w:t>
            </w:r>
            <w:r w:rsidRPr="00CB7105">
              <w:rPr>
                <w:rFonts w:eastAsia="標楷體" w:cstheme="minorHAnsi" w:hint="eastAsia"/>
              </w:rPr>
              <w:t>(</w:t>
            </w:r>
            <w:r w:rsidRPr="00CB7105">
              <w:rPr>
                <w:rFonts w:eastAsia="標楷體" w:cstheme="minorHAnsi" w:hint="eastAsia"/>
              </w:rPr>
              <w:t>痛風</w:t>
            </w:r>
            <w:r w:rsidRPr="00CB7105">
              <w:rPr>
                <w:rFonts w:eastAsia="標楷體" w:cstheme="minorHAnsi" w:hint="eastAsia"/>
              </w:rPr>
              <w:t>)</w:t>
            </w:r>
          </w:p>
        </w:tc>
      </w:tr>
      <w:tr w:rsidR="00A40EDC" w:rsidRPr="00CB7105" w14:paraId="579AAE57" w14:textId="77777777" w:rsidTr="004F5D43">
        <w:tc>
          <w:tcPr>
            <w:tcW w:w="1271" w:type="dxa"/>
            <w:vAlign w:val="center"/>
          </w:tcPr>
          <w:p w14:paraId="72A6DD4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腎臟疾病</w:t>
            </w:r>
          </w:p>
        </w:tc>
        <w:tc>
          <w:tcPr>
            <w:tcW w:w="2161" w:type="dxa"/>
            <w:vAlign w:val="center"/>
          </w:tcPr>
          <w:p w14:paraId="0683F3E4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0F30387D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慢性腎病</w:t>
            </w:r>
          </w:p>
        </w:tc>
        <w:tc>
          <w:tcPr>
            <w:tcW w:w="2162" w:type="dxa"/>
            <w:vAlign w:val="center"/>
          </w:tcPr>
          <w:p w14:paraId="47F3D1E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6FC85120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523" w:type="dxa"/>
            <w:vAlign w:val="center"/>
          </w:tcPr>
          <w:p w14:paraId="72DD1A0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突發性失能</w:t>
            </w:r>
            <w:proofErr w:type="gramEnd"/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電解質失衡、貧血</w:t>
            </w:r>
            <w:r w:rsidRPr="00CB7105">
              <w:rPr>
                <w:rFonts w:eastAsia="標楷體" w:cstheme="minorHAnsi"/>
              </w:rPr>
              <w:t>)</w:t>
            </w:r>
          </w:p>
          <w:p w14:paraId="273C83D8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疲勞風險</w:t>
            </w:r>
          </w:p>
        </w:tc>
      </w:tr>
      <w:tr w:rsidR="00A40EDC" w:rsidRPr="00CB7105" w14:paraId="6D915489" w14:textId="77777777" w:rsidTr="004F5D43">
        <w:tc>
          <w:tcPr>
            <w:tcW w:w="1271" w:type="dxa"/>
            <w:vAlign w:val="center"/>
          </w:tcPr>
          <w:p w14:paraId="641F144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貧血</w:t>
            </w:r>
          </w:p>
        </w:tc>
        <w:tc>
          <w:tcPr>
            <w:tcW w:w="2161" w:type="dxa"/>
            <w:vAlign w:val="center"/>
          </w:tcPr>
          <w:p w14:paraId="1759A503" w14:textId="77777777" w:rsidR="00A40EDC" w:rsidRPr="00CB7105" w:rsidRDefault="00A40EDC" w:rsidP="004F5D43">
            <w:pPr>
              <w:widowControl/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651C26ED" w14:textId="77777777" w:rsidR="00A40EDC" w:rsidRPr="00CB7105" w:rsidRDefault="00A40EDC" w:rsidP="004F5D43">
            <w:pPr>
              <w:widowControl/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Hgb:</w:t>
            </w:r>
            <w:r w:rsidRPr="00CB7105">
              <w:rPr>
                <w:rFonts w:ascii="Segoe UI Symbol" w:eastAsia="標楷體" w:hAnsi="Segoe UI Symbol" w:cs="Segoe UI Symbol"/>
              </w:rPr>
              <w:t>♂</w:t>
            </w:r>
            <w:proofErr w:type="gramEnd"/>
            <w:r w:rsidRPr="00CB7105">
              <w:rPr>
                <w:rFonts w:eastAsia="標楷體" w:cstheme="minorHAnsi"/>
              </w:rPr>
              <w:t xml:space="preserve">:&lt;11mg/dL; </w:t>
            </w:r>
          </w:p>
          <w:p w14:paraId="040E2CD7" w14:textId="77777777" w:rsidR="00A40EDC" w:rsidRPr="00CB7105" w:rsidRDefault="00A40EDC" w:rsidP="004F5D43">
            <w:pPr>
              <w:widowControl/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ascii="Segoe UI Symbol" w:eastAsia="標楷體" w:hAnsi="Segoe UI Symbol" w:cs="Segoe UI Symbol"/>
              </w:rPr>
              <w:t xml:space="preserve">    ♀</w:t>
            </w:r>
            <w:r w:rsidRPr="00CB7105">
              <w:rPr>
                <w:rFonts w:eastAsia="標楷體" w:cstheme="minorHAnsi"/>
              </w:rPr>
              <w:t>:&lt;10mg/dL</w:t>
            </w:r>
          </w:p>
        </w:tc>
        <w:tc>
          <w:tcPr>
            <w:tcW w:w="2162" w:type="dxa"/>
            <w:vAlign w:val="center"/>
          </w:tcPr>
          <w:p w14:paraId="2EDAE64F" w14:textId="77777777" w:rsidR="00A40EDC" w:rsidRPr="00CB7105" w:rsidRDefault="00A40EDC" w:rsidP="004F5D43">
            <w:pPr>
              <w:widowControl/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1EC23300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Hgb:</w:t>
            </w:r>
            <w:r w:rsidRPr="00CB7105">
              <w:rPr>
                <w:rFonts w:ascii="Segoe UI Symbol" w:eastAsia="標楷體" w:hAnsi="Segoe UI Symbol" w:cs="Segoe UI Symbol"/>
              </w:rPr>
              <w:t>♂</w:t>
            </w:r>
            <w:proofErr w:type="gramEnd"/>
            <w:r w:rsidRPr="00CB7105">
              <w:rPr>
                <w:rFonts w:eastAsia="標楷體" w:cstheme="minorHAnsi"/>
              </w:rPr>
              <w:t xml:space="preserve">:&lt;10mg/dL;  </w:t>
            </w:r>
          </w:p>
          <w:p w14:paraId="1B2B59B9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 w:hint="eastAsia"/>
              </w:rPr>
              <w:t xml:space="preserve"> </w:t>
            </w:r>
            <w:r w:rsidRPr="00CB7105">
              <w:rPr>
                <w:rFonts w:eastAsia="標楷體" w:cstheme="minorHAnsi"/>
              </w:rPr>
              <w:t xml:space="preserve">   </w:t>
            </w:r>
            <w:r w:rsidRPr="00CB7105">
              <w:rPr>
                <w:rFonts w:ascii="Segoe UI Symbol" w:eastAsia="標楷體" w:hAnsi="Segoe UI Symbol" w:cs="Segoe UI Symbol"/>
              </w:rPr>
              <w:t>♀</w:t>
            </w:r>
            <w:r w:rsidRPr="00CB7105">
              <w:rPr>
                <w:rFonts w:eastAsia="標楷體" w:cstheme="minorHAnsi"/>
              </w:rPr>
              <w:t>:&lt;9mg/dL</w:t>
            </w:r>
          </w:p>
        </w:tc>
        <w:tc>
          <w:tcPr>
            <w:tcW w:w="2523" w:type="dxa"/>
            <w:vAlign w:val="center"/>
          </w:tcPr>
          <w:p w14:paraId="691DD610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突發性失能</w:t>
            </w:r>
            <w:proofErr w:type="gramEnd"/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暈厥休克</w:t>
            </w:r>
            <w:r w:rsidRPr="00CB7105">
              <w:rPr>
                <w:rFonts w:eastAsia="標楷體" w:cstheme="minorHAnsi"/>
              </w:rPr>
              <w:t>)</w:t>
            </w:r>
          </w:p>
          <w:p w14:paraId="38AA0512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疲勞風險</w:t>
            </w:r>
          </w:p>
        </w:tc>
      </w:tr>
      <w:tr w:rsidR="00A40EDC" w:rsidRPr="00CB7105" w14:paraId="23BB5858" w14:textId="77777777" w:rsidTr="004F5D43">
        <w:tc>
          <w:tcPr>
            <w:tcW w:w="1271" w:type="dxa"/>
            <w:vAlign w:val="center"/>
          </w:tcPr>
          <w:p w14:paraId="7B64F32B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血液疾病</w:t>
            </w:r>
          </w:p>
        </w:tc>
        <w:tc>
          <w:tcPr>
            <w:tcW w:w="2161" w:type="dxa"/>
            <w:vAlign w:val="center"/>
          </w:tcPr>
          <w:p w14:paraId="6AD1ABEF" w14:textId="77777777" w:rsidR="00A40EDC" w:rsidRPr="00CB7105" w:rsidRDefault="00A40EDC" w:rsidP="004F5D43">
            <w:pPr>
              <w:widowControl/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08BDDEA6" w14:textId="77777777" w:rsidR="00A40EDC" w:rsidRPr="00CB7105" w:rsidRDefault="00A40EDC" w:rsidP="004F5D43">
            <w:pPr>
              <w:widowControl/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血小板缺乏症</w:t>
            </w:r>
            <w:r w:rsidRPr="00CB7105">
              <w:rPr>
                <w:rFonts w:eastAsia="標楷體" w:cstheme="minorHAnsi"/>
              </w:rPr>
              <w:t>&lt;</w:t>
            </w:r>
            <w:r w:rsidRPr="00CB7105">
              <w:rPr>
                <w:rFonts w:eastAsia="標楷體" w:cstheme="minorHAnsi" w:hint="eastAsia"/>
              </w:rPr>
              <w:t>10</w:t>
            </w:r>
            <w:r w:rsidRPr="00CB7105">
              <w:rPr>
                <w:rFonts w:eastAsia="標楷體" w:cstheme="minorHAnsi" w:hint="eastAsia"/>
              </w:rPr>
              <w:t>萬</w:t>
            </w:r>
            <w:r w:rsidRPr="00CB7105">
              <w:rPr>
                <w:rFonts w:eastAsia="標楷體" w:cstheme="minorHAnsi" w:hint="eastAsia"/>
              </w:rPr>
              <w:t>/UL</w:t>
            </w:r>
          </w:p>
        </w:tc>
        <w:tc>
          <w:tcPr>
            <w:tcW w:w="2162" w:type="dxa"/>
            <w:vAlign w:val="center"/>
          </w:tcPr>
          <w:p w14:paraId="77132C4A" w14:textId="77777777" w:rsidR="00A40EDC" w:rsidRPr="00CB7105" w:rsidRDefault="00A40EDC" w:rsidP="004F5D43">
            <w:pPr>
              <w:widowControl/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3597169C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523" w:type="dxa"/>
            <w:vAlign w:val="center"/>
          </w:tcPr>
          <w:p w14:paraId="004B1EBD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突發性失能</w:t>
            </w:r>
            <w:proofErr w:type="gramEnd"/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暈厥休克</w:t>
            </w:r>
            <w:r w:rsidRPr="00CB7105">
              <w:rPr>
                <w:rFonts w:eastAsia="標楷體" w:cstheme="minorHAnsi"/>
              </w:rPr>
              <w:t>)</w:t>
            </w:r>
          </w:p>
          <w:p w14:paraId="5CE6F7C0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疲勞風險</w:t>
            </w:r>
          </w:p>
        </w:tc>
      </w:tr>
      <w:tr w:rsidR="00A40EDC" w:rsidRPr="00CB7105" w14:paraId="36F838E5" w14:textId="77777777" w:rsidTr="004F5D43">
        <w:tc>
          <w:tcPr>
            <w:tcW w:w="1271" w:type="dxa"/>
            <w:vAlign w:val="center"/>
          </w:tcPr>
          <w:p w14:paraId="6538F6CB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甲狀腺疾病或功能異常</w:t>
            </w:r>
          </w:p>
        </w:tc>
        <w:tc>
          <w:tcPr>
            <w:tcW w:w="2161" w:type="dxa"/>
            <w:vAlign w:val="center"/>
          </w:tcPr>
          <w:p w14:paraId="5560A6E2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甲</w:t>
            </w:r>
            <w:proofErr w:type="gramStart"/>
            <w:r w:rsidRPr="00CB7105">
              <w:rPr>
                <w:rFonts w:eastAsia="標楷體" w:cstheme="minorHAnsi"/>
              </w:rPr>
              <w:t>亢</w:t>
            </w:r>
            <w:proofErr w:type="gramEnd"/>
            <w:r w:rsidRPr="00CB7105">
              <w:rPr>
                <w:rFonts w:eastAsia="標楷體" w:cstheme="minorHAnsi"/>
              </w:rPr>
              <w:t>或低下病史，數值正常無症狀</w:t>
            </w:r>
          </w:p>
        </w:tc>
        <w:tc>
          <w:tcPr>
            <w:tcW w:w="2162" w:type="dxa"/>
            <w:vAlign w:val="center"/>
          </w:tcPr>
          <w:p w14:paraId="77EEFD78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甲</w:t>
            </w:r>
            <w:proofErr w:type="gramStart"/>
            <w:r w:rsidRPr="00CB7105">
              <w:rPr>
                <w:rFonts w:eastAsia="標楷體" w:cstheme="minorHAnsi"/>
              </w:rPr>
              <w:t>亢</w:t>
            </w:r>
            <w:proofErr w:type="gramEnd"/>
            <w:r w:rsidRPr="00CB7105">
              <w:rPr>
                <w:rFonts w:eastAsia="標楷體" w:cstheme="minorHAnsi"/>
              </w:rPr>
              <w:t>或低下，需服藥</w:t>
            </w:r>
            <w:r w:rsidRPr="00CB7105">
              <w:rPr>
                <w:rFonts w:eastAsia="標楷體" w:cstheme="minorHAnsi" w:hint="eastAsia"/>
              </w:rPr>
              <w:t>治療</w:t>
            </w:r>
          </w:p>
        </w:tc>
        <w:tc>
          <w:tcPr>
            <w:tcW w:w="2162" w:type="dxa"/>
            <w:vAlign w:val="center"/>
          </w:tcPr>
          <w:p w14:paraId="267EEED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6E9D668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523" w:type="dxa"/>
            <w:vAlign w:val="center"/>
          </w:tcPr>
          <w:p w14:paraId="27731A44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失能風險</w:t>
            </w:r>
          </w:p>
          <w:p w14:paraId="05C378A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疲勞風險</w:t>
            </w:r>
          </w:p>
        </w:tc>
      </w:tr>
      <w:tr w:rsidR="00A40EDC" w:rsidRPr="00CB7105" w14:paraId="0C450A02" w14:textId="77777777" w:rsidTr="004F5D43">
        <w:tc>
          <w:tcPr>
            <w:tcW w:w="1271" w:type="dxa"/>
            <w:vAlign w:val="center"/>
          </w:tcPr>
          <w:p w14:paraId="6BAB72B2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冠狀動脈疾病</w:t>
            </w:r>
          </w:p>
        </w:tc>
        <w:tc>
          <w:tcPr>
            <w:tcW w:w="2161" w:type="dxa"/>
            <w:vAlign w:val="center"/>
          </w:tcPr>
          <w:p w14:paraId="2B5BF7C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輕度冠狀動脈疾病</w:t>
            </w:r>
          </w:p>
          <w:p w14:paraId="023D29FF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 w:hint="eastAsia"/>
              </w:rPr>
              <w:t>(</w:t>
            </w:r>
            <w:r w:rsidRPr="00CB7105">
              <w:rPr>
                <w:rFonts w:eastAsia="標楷體" w:cstheme="minorHAnsi" w:hint="eastAsia"/>
              </w:rPr>
              <w:t>狹窄</w:t>
            </w:r>
            <w:r w:rsidRPr="00CB7105">
              <w:rPr>
                <w:rFonts w:eastAsia="標楷體" w:cstheme="minorHAnsi"/>
              </w:rPr>
              <w:t>&lt; 50</w:t>
            </w:r>
            <w:r w:rsidRPr="00CB7105">
              <w:rPr>
                <w:rFonts w:ascii="標楷體" w:eastAsia="標楷體" w:hAnsi="標楷體" w:cstheme="minorHAnsi" w:hint="eastAsia"/>
              </w:rPr>
              <w:t>%</w:t>
            </w:r>
            <w:r w:rsidRPr="00CB7105">
              <w:rPr>
                <w:rFonts w:eastAsia="標楷體" w:cstheme="minorHAnsi"/>
              </w:rPr>
              <w:t>)</w:t>
            </w:r>
          </w:p>
        </w:tc>
        <w:tc>
          <w:tcPr>
            <w:tcW w:w="2162" w:type="dxa"/>
            <w:vAlign w:val="center"/>
          </w:tcPr>
          <w:p w14:paraId="7F80BE8D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冠狀動脈疾病</w:t>
            </w:r>
          </w:p>
          <w:p w14:paraId="091B19CB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 w:hint="eastAsia"/>
              </w:rPr>
              <w:t>(</w:t>
            </w:r>
            <w:r w:rsidRPr="00CB7105">
              <w:rPr>
                <w:rFonts w:eastAsia="標楷體" w:cstheme="minorHAnsi" w:hint="eastAsia"/>
              </w:rPr>
              <w:t>狹窄</w:t>
            </w:r>
            <w:proofErr w:type="gramStart"/>
            <w:r w:rsidRPr="00CB7105">
              <w:rPr>
                <w:rFonts w:ascii="標楷體" w:eastAsia="標楷體" w:hAnsi="標楷體" w:cstheme="minorHAnsi" w:hint="eastAsia"/>
              </w:rPr>
              <w:t>﹥</w:t>
            </w:r>
            <w:proofErr w:type="gramEnd"/>
            <w:r w:rsidRPr="00CB7105">
              <w:rPr>
                <w:rFonts w:eastAsia="標楷體" w:cstheme="minorHAnsi" w:hint="eastAsia"/>
              </w:rPr>
              <w:t>50%)</w:t>
            </w:r>
          </w:p>
        </w:tc>
        <w:tc>
          <w:tcPr>
            <w:tcW w:w="2162" w:type="dxa"/>
            <w:vAlign w:val="center"/>
          </w:tcPr>
          <w:p w14:paraId="6FB940CF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冠狀動脈疾病</w:t>
            </w:r>
            <w:proofErr w:type="gramStart"/>
            <w:r w:rsidRPr="00CB7105">
              <w:rPr>
                <w:rFonts w:eastAsia="標楷體" w:cstheme="minorHAnsi"/>
              </w:rPr>
              <w:t>併</w:t>
            </w:r>
            <w:proofErr w:type="gramEnd"/>
            <w:r w:rsidRPr="00CB7105">
              <w:rPr>
                <w:rFonts w:eastAsia="標楷體" w:cstheme="minorHAnsi"/>
              </w:rPr>
              <w:t>支架置入</w:t>
            </w:r>
            <w:r w:rsidRPr="00CB7105">
              <w:rPr>
                <w:rFonts w:eastAsia="標楷體" w:cstheme="minorHAnsi"/>
              </w:rPr>
              <w:t>/</w:t>
            </w:r>
            <w:r w:rsidRPr="00CB7105">
              <w:rPr>
                <w:rFonts w:eastAsia="標楷體" w:cstheme="minorHAnsi"/>
              </w:rPr>
              <w:t>心肌橋</w:t>
            </w:r>
          </w:p>
        </w:tc>
        <w:tc>
          <w:tcPr>
            <w:tcW w:w="2162" w:type="dxa"/>
            <w:vAlign w:val="center"/>
          </w:tcPr>
          <w:p w14:paraId="30F82AA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523" w:type="dxa"/>
            <w:vAlign w:val="center"/>
          </w:tcPr>
          <w:p w14:paraId="3B892069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突發性失能</w:t>
            </w:r>
            <w:proofErr w:type="gramEnd"/>
          </w:p>
          <w:p w14:paraId="16AD2A8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心肌梗塞、心律不整、猝死</w:t>
            </w:r>
            <w:r w:rsidRPr="00CB7105">
              <w:rPr>
                <w:rFonts w:eastAsia="標楷體" w:cstheme="minorHAnsi"/>
              </w:rPr>
              <w:t>)</w:t>
            </w:r>
          </w:p>
        </w:tc>
      </w:tr>
      <w:tr w:rsidR="00A40EDC" w:rsidRPr="00CB7105" w14:paraId="7F077E5F" w14:textId="77777777" w:rsidTr="004F5D43">
        <w:tc>
          <w:tcPr>
            <w:tcW w:w="1271" w:type="dxa"/>
            <w:vAlign w:val="center"/>
          </w:tcPr>
          <w:p w14:paraId="4F9DB27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惡性腫瘤</w:t>
            </w:r>
          </w:p>
        </w:tc>
        <w:tc>
          <w:tcPr>
            <w:tcW w:w="2161" w:type="dxa"/>
            <w:vAlign w:val="center"/>
          </w:tcPr>
          <w:p w14:paraId="6FD43A7F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惡性腫瘤</w:t>
            </w:r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原位癌</w:t>
            </w:r>
            <w:r w:rsidRPr="00CB7105">
              <w:rPr>
                <w:rFonts w:eastAsia="標楷體" w:cstheme="minorHAnsi"/>
              </w:rPr>
              <w:t>)</w:t>
            </w:r>
            <w:r w:rsidRPr="00CB7105">
              <w:rPr>
                <w:rFonts w:eastAsia="標楷體" w:cstheme="minorHAnsi"/>
              </w:rPr>
              <w:t>治療後滿五年</w:t>
            </w:r>
          </w:p>
        </w:tc>
        <w:tc>
          <w:tcPr>
            <w:tcW w:w="2162" w:type="dxa"/>
            <w:vAlign w:val="center"/>
          </w:tcPr>
          <w:p w14:paraId="3BD50DFA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惡性腫瘤</w:t>
            </w:r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非原位癌</w:t>
            </w:r>
            <w:r w:rsidRPr="00CB7105">
              <w:rPr>
                <w:rFonts w:eastAsia="標楷體" w:cstheme="minorHAnsi"/>
              </w:rPr>
              <w:t>)</w:t>
            </w:r>
            <w:r w:rsidRPr="00CB7105">
              <w:rPr>
                <w:rFonts w:eastAsia="標楷體" w:cstheme="minorHAnsi"/>
              </w:rPr>
              <w:t>治療後未滿五年</w:t>
            </w:r>
          </w:p>
        </w:tc>
        <w:tc>
          <w:tcPr>
            <w:tcW w:w="2162" w:type="dxa"/>
            <w:vAlign w:val="center"/>
          </w:tcPr>
          <w:p w14:paraId="778602C3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6B24F5F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惡性腫瘤</w:t>
            </w:r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初診斷</w:t>
            </w:r>
            <w:r w:rsidRPr="00CB7105">
              <w:rPr>
                <w:rFonts w:eastAsia="標楷體" w:cstheme="minorHAnsi"/>
              </w:rPr>
              <w:t>)</w:t>
            </w:r>
          </w:p>
        </w:tc>
        <w:tc>
          <w:tcPr>
            <w:tcW w:w="2523" w:type="dxa"/>
            <w:vAlign w:val="center"/>
          </w:tcPr>
          <w:p w14:paraId="03FCD9C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失能風險</w:t>
            </w:r>
          </w:p>
          <w:p w14:paraId="163B6111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疲勞風險</w:t>
            </w:r>
          </w:p>
        </w:tc>
      </w:tr>
      <w:tr w:rsidR="00A40EDC" w:rsidRPr="00CB7105" w14:paraId="39F64ABD" w14:textId="77777777" w:rsidTr="004F5D43">
        <w:tc>
          <w:tcPr>
            <w:tcW w:w="1271" w:type="dxa"/>
            <w:vAlign w:val="center"/>
          </w:tcPr>
          <w:p w14:paraId="5D88015D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心律不整</w:t>
            </w:r>
          </w:p>
        </w:tc>
        <w:tc>
          <w:tcPr>
            <w:tcW w:w="2161" w:type="dxa"/>
            <w:vAlign w:val="center"/>
          </w:tcPr>
          <w:p w14:paraId="45A93A8E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頻發不</w:t>
            </w:r>
            <w:proofErr w:type="gramEnd"/>
            <w:r w:rsidRPr="00CB7105">
              <w:rPr>
                <w:rFonts w:eastAsia="標楷體" w:cstheme="minorHAnsi"/>
              </w:rPr>
              <w:t>穩定心律不整</w:t>
            </w:r>
            <w:r w:rsidRPr="00CB7105">
              <w:rPr>
                <w:rFonts w:eastAsia="標楷體" w:cstheme="minorHAnsi"/>
              </w:rPr>
              <w:t>(VPC)</w:t>
            </w:r>
          </w:p>
        </w:tc>
        <w:tc>
          <w:tcPr>
            <w:tcW w:w="2162" w:type="dxa"/>
            <w:vAlign w:val="center"/>
          </w:tcPr>
          <w:p w14:paraId="0838376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心房顫動</w:t>
            </w:r>
            <w:r w:rsidRPr="00CB7105">
              <w:rPr>
                <w:rFonts w:eastAsia="標楷體" w:cstheme="minorHAnsi"/>
              </w:rPr>
              <w:t>(AF)</w:t>
            </w:r>
            <w:r w:rsidRPr="00CB7105">
              <w:rPr>
                <w:rFonts w:eastAsia="標楷體" w:cstheme="minorHAnsi"/>
              </w:rPr>
              <w:t>、非持續性心室心律不整</w:t>
            </w:r>
            <w:r w:rsidRPr="00CB7105">
              <w:rPr>
                <w:rFonts w:eastAsia="標楷體" w:cstheme="minorHAnsi"/>
              </w:rPr>
              <w:t xml:space="preserve">(NSVT) </w:t>
            </w:r>
            <w:r w:rsidRPr="00CB7105">
              <w:rPr>
                <w:rFonts w:eastAsia="標楷體" w:cstheme="minorHAnsi"/>
              </w:rPr>
              <w:t>，</w:t>
            </w:r>
            <w:proofErr w:type="gramStart"/>
            <w:r w:rsidRPr="00CB7105">
              <w:rPr>
                <w:rFonts w:eastAsia="標楷體" w:cstheme="minorHAnsi" w:hint="eastAsia"/>
              </w:rPr>
              <w:t>左側束支</w:t>
            </w:r>
            <w:proofErr w:type="gramEnd"/>
            <w:r w:rsidRPr="00CB7105">
              <w:rPr>
                <w:rFonts w:eastAsia="標楷體" w:cstheme="minorHAnsi" w:hint="eastAsia"/>
              </w:rPr>
              <w:t>傳導阻滯</w:t>
            </w:r>
            <w:r w:rsidRPr="00CB7105">
              <w:rPr>
                <w:rFonts w:eastAsia="標楷體" w:cstheme="minorHAnsi" w:hint="eastAsia"/>
              </w:rPr>
              <w:t>(LBBB)</w:t>
            </w:r>
            <w:r w:rsidRPr="00CB7105">
              <w:rPr>
                <w:rFonts w:eastAsia="標楷體" w:cstheme="minorHAnsi"/>
              </w:rPr>
              <w:t>，電燒術</w:t>
            </w:r>
            <w:r w:rsidRPr="00CB7105">
              <w:rPr>
                <w:rFonts w:eastAsia="標楷體" w:cstheme="minorHAnsi"/>
              </w:rPr>
              <w:lastRenderedPageBreak/>
              <w:t>後，目前無服藥者</w:t>
            </w:r>
          </w:p>
        </w:tc>
        <w:tc>
          <w:tcPr>
            <w:tcW w:w="2162" w:type="dxa"/>
            <w:vAlign w:val="center"/>
          </w:tcPr>
          <w:p w14:paraId="6FB2076A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lastRenderedPageBreak/>
              <w:t>心律不整，</w:t>
            </w:r>
            <w:r w:rsidRPr="00CB7105">
              <w:rPr>
                <w:rFonts w:eastAsia="標楷體" w:cstheme="minorHAnsi" w:hint="eastAsia"/>
              </w:rPr>
              <w:t>(</w:t>
            </w:r>
            <w:r w:rsidRPr="00CB7105">
              <w:rPr>
                <w:rFonts w:eastAsia="標楷體" w:cstheme="minorHAnsi" w:hint="eastAsia"/>
              </w:rPr>
              <w:t>例</w:t>
            </w:r>
            <w:r w:rsidRPr="00CB7105">
              <w:rPr>
                <w:rFonts w:eastAsia="標楷體" w:cstheme="minorHAnsi"/>
              </w:rPr>
              <w:t>如</w:t>
            </w:r>
            <w:r w:rsidRPr="00CB7105">
              <w:rPr>
                <w:rFonts w:eastAsia="標楷體" w:cstheme="minorHAnsi" w:hint="eastAsia"/>
              </w:rPr>
              <w:t>(</w:t>
            </w:r>
            <w:r w:rsidRPr="00CB7105">
              <w:rPr>
                <w:rFonts w:eastAsia="標楷體" w:cstheme="minorHAnsi" w:hint="eastAsia"/>
              </w:rPr>
              <w:t>例如</w:t>
            </w:r>
            <w:r w:rsidRPr="00CB7105">
              <w:rPr>
                <w:rFonts w:eastAsia="標楷體" w:cstheme="minorHAnsi"/>
              </w:rPr>
              <w:t>病</w:t>
            </w:r>
            <w:proofErr w:type="gramStart"/>
            <w:r w:rsidRPr="00CB7105">
              <w:rPr>
                <w:rFonts w:eastAsia="標楷體" w:cstheme="minorHAnsi"/>
              </w:rPr>
              <w:t>竇症侯群</w:t>
            </w:r>
            <w:proofErr w:type="gramEnd"/>
            <w:r w:rsidRPr="00CB7105">
              <w:rPr>
                <w:rFonts w:eastAsia="標楷體" w:cstheme="minorHAnsi"/>
              </w:rPr>
              <w:t>阻滯、完全性</w:t>
            </w:r>
            <w:proofErr w:type="gramStart"/>
            <w:r w:rsidRPr="00CB7105">
              <w:rPr>
                <w:rFonts w:eastAsia="標楷體" w:cstheme="minorHAnsi"/>
              </w:rPr>
              <w:t>左束支</w:t>
            </w:r>
            <w:proofErr w:type="gramEnd"/>
            <w:r w:rsidRPr="00CB7105">
              <w:rPr>
                <w:rFonts w:eastAsia="標楷體" w:cstheme="minorHAnsi"/>
              </w:rPr>
              <w:t>傳導，需治療者</w:t>
            </w:r>
            <w:r>
              <w:rPr>
                <w:rFonts w:eastAsia="標楷體" w:cstheme="minorHAnsi"/>
              </w:rPr>
              <w:t>)</w:t>
            </w:r>
          </w:p>
        </w:tc>
        <w:tc>
          <w:tcPr>
            <w:tcW w:w="2162" w:type="dxa"/>
            <w:vAlign w:val="center"/>
          </w:tcPr>
          <w:p w14:paraId="1BD352AA" w14:textId="77777777" w:rsidR="00A40EDC" w:rsidRPr="00CB7105" w:rsidRDefault="00A40EDC" w:rsidP="004F5D43">
            <w:pPr>
              <w:spacing w:line="0" w:lineRule="atLeast"/>
              <w:jc w:val="both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嚴重心律不整</w:t>
            </w:r>
            <w:r>
              <w:rPr>
                <w:rFonts w:eastAsia="標楷體" w:cstheme="minorHAnsi"/>
              </w:rPr>
              <w:t>，</w:t>
            </w:r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例如</w:t>
            </w:r>
            <w:r>
              <w:rPr>
                <w:rFonts w:eastAsia="標楷體" w:cstheme="minorHAnsi"/>
              </w:rPr>
              <w:t>：</w:t>
            </w:r>
            <w:proofErr w:type="gramStart"/>
            <w:r w:rsidRPr="00CB7105">
              <w:rPr>
                <w:rFonts w:eastAsia="標楷體" w:cstheme="minorHAnsi" w:hint="eastAsia"/>
              </w:rPr>
              <w:t>心房撲動</w:t>
            </w:r>
            <w:proofErr w:type="gramEnd"/>
            <w:r w:rsidRPr="00CB7105">
              <w:rPr>
                <w:rFonts w:eastAsia="標楷體" w:cstheme="minorHAnsi" w:hint="eastAsia"/>
              </w:rPr>
              <w:t>、持續性心房纖維震顫、手術治療無效需服藥之陣發性</w:t>
            </w:r>
            <w:r w:rsidRPr="00CB7105">
              <w:rPr>
                <w:rFonts w:eastAsia="標楷體" w:cstheme="minorHAnsi" w:hint="eastAsia"/>
              </w:rPr>
              <w:lastRenderedPageBreak/>
              <w:t>心室</w:t>
            </w:r>
            <w:proofErr w:type="gramStart"/>
            <w:r w:rsidRPr="00CB7105">
              <w:rPr>
                <w:rFonts w:eastAsia="標楷體" w:cstheme="minorHAnsi" w:hint="eastAsia"/>
              </w:rPr>
              <w:t>上心搏過</w:t>
            </w:r>
            <w:proofErr w:type="gramEnd"/>
            <w:r w:rsidRPr="00CB7105">
              <w:rPr>
                <w:rFonts w:eastAsia="標楷體" w:cstheme="minorHAnsi" w:hint="eastAsia"/>
              </w:rPr>
              <w:t>速、心室性</w:t>
            </w:r>
            <w:proofErr w:type="gramStart"/>
            <w:r w:rsidRPr="00CB7105">
              <w:rPr>
                <w:rFonts w:eastAsia="標楷體" w:cstheme="minorHAnsi" w:hint="eastAsia"/>
              </w:rPr>
              <w:t>心搏過速</w:t>
            </w:r>
            <w:proofErr w:type="gramEnd"/>
            <w:r w:rsidRPr="00CB7105">
              <w:rPr>
                <w:rFonts w:eastAsia="標楷體" w:cstheme="minorHAnsi" w:hint="eastAsia"/>
              </w:rPr>
              <w:t>、</w:t>
            </w:r>
            <w:proofErr w:type="gramStart"/>
            <w:r w:rsidRPr="00CB7105">
              <w:rPr>
                <w:rFonts w:eastAsia="標楷體" w:cstheme="minorHAnsi" w:hint="eastAsia"/>
              </w:rPr>
              <w:t>病竇症</w:t>
            </w:r>
            <w:proofErr w:type="gramEnd"/>
            <w:r w:rsidRPr="00CB7105">
              <w:rPr>
                <w:rFonts w:eastAsia="標楷體" w:cstheme="minorHAnsi" w:hint="eastAsia"/>
              </w:rPr>
              <w:t>。</w:t>
            </w:r>
            <w:r w:rsidRPr="00CB7105">
              <w:rPr>
                <w:rFonts w:eastAsia="標楷體" w:cstheme="minorHAnsi"/>
              </w:rPr>
              <w:t>心房性纖維震顫</w:t>
            </w:r>
            <w:r w:rsidRPr="00CB7105">
              <w:rPr>
                <w:rFonts w:eastAsia="標楷體" w:cstheme="minorHAnsi"/>
              </w:rPr>
              <w:t>)</w:t>
            </w:r>
          </w:p>
        </w:tc>
        <w:tc>
          <w:tcPr>
            <w:tcW w:w="2523" w:type="dxa"/>
            <w:vAlign w:val="center"/>
          </w:tcPr>
          <w:p w14:paraId="1516FFA1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lastRenderedPageBreak/>
              <w:t>突發性失能</w:t>
            </w:r>
            <w:proofErr w:type="gramEnd"/>
          </w:p>
          <w:p w14:paraId="2E597BFC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(</w:t>
            </w:r>
            <w:r w:rsidRPr="00CB7105">
              <w:rPr>
                <w:rFonts w:eastAsia="標楷體" w:cstheme="minorHAnsi"/>
              </w:rPr>
              <w:t>暈厥、腦中風、猝死</w:t>
            </w:r>
            <w:r w:rsidRPr="00CB7105">
              <w:rPr>
                <w:rFonts w:eastAsia="標楷體" w:cstheme="minorHAnsi"/>
              </w:rPr>
              <w:t>)</w:t>
            </w:r>
          </w:p>
        </w:tc>
      </w:tr>
      <w:tr w:rsidR="00A40EDC" w:rsidRPr="00CB7105" w14:paraId="25D39749" w14:textId="77777777" w:rsidTr="004F5D43">
        <w:tc>
          <w:tcPr>
            <w:tcW w:w="1271" w:type="dxa"/>
            <w:vMerge w:val="restart"/>
            <w:vAlign w:val="center"/>
          </w:tcPr>
          <w:p w14:paraId="389E067C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眼科疾病或眼壓異常</w:t>
            </w:r>
          </w:p>
        </w:tc>
        <w:tc>
          <w:tcPr>
            <w:tcW w:w="2161" w:type="dxa"/>
            <w:vAlign w:val="center"/>
          </w:tcPr>
          <w:p w14:paraId="216B8403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白內障術後，視力正常</w:t>
            </w:r>
          </w:p>
        </w:tc>
        <w:tc>
          <w:tcPr>
            <w:tcW w:w="2162" w:type="dxa"/>
            <w:vAlign w:val="center"/>
          </w:tcPr>
          <w:p w14:paraId="34B42D13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白內障術後，視力</w:t>
            </w:r>
            <w:proofErr w:type="gramStart"/>
            <w:r w:rsidRPr="00CB7105">
              <w:rPr>
                <w:rFonts w:eastAsia="標楷體" w:cstheme="minorHAnsi"/>
              </w:rPr>
              <w:t>需追中評估</w:t>
            </w:r>
            <w:proofErr w:type="gramEnd"/>
            <w:r w:rsidRPr="00CB7105">
              <w:rPr>
                <w:rFonts w:eastAsia="標楷體" w:cstheme="minorHAnsi"/>
              </w:rPr>
              <w:t>者</w:t>
            </w:r>
          </w:p>
        </w:tc>
        <w:tc>
          <w:tcPr>
            <w:tcW w:w="2162" w:type="dxa"/>
            <w:vAlign w:val="center"/>
          </w:tcPr>
          <w:p w14:paraId="7F31FE6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3BF9A0B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523" w:type="dxa"/>
            <w:vAlign w:val="center"/>
          </w:tcPr>
          <w:p w14:paraId="72976A83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 w:hint="eastAsia"/>
              </w:rPr>
              <w:t>無法執行勤務</w:t>
            </w:r>
          </w:p>
          <w:p w14:paraId="35DE2238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疲勞風險</w:t>
            </w:r>
          </w:p>
        </w:tc>
      </w:tr>
      <w:tr w:rsidR="00A40EDC" w:rsidRPr="00CB7105" w14:paraId="35815C69" w14:textId="77777777" w:rsidTr="004F5D43">
        <w:tc>
          <w:tcPr>
            <w:tcW w:w="1271" w:type="dxa"/>
            <w:vMerge/>
            <w:vAlign w:val="center"/>
          </w:tcPr>
          <w:p w14:paraId="415F964C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</w:p>
        </w:tc>
        <w:tc>
          <w:tcPr>
            <w:tcW w:w="2161" w:type="dxa"/>
            <w:vAlign w:val="center"/>
          </w:tcPr>
          <w:p w14:paraId="0B15C61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5D5D2A15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眼黃斑部病變</w:t>
            </w:r>
          </w:p>
        </w:tc>
        <w:tc>
          <w:tcPr>
            <w:tcW w:w="2162" w:type="dxa"/>
            <w:vAlign w:val="center"/>
          </w:tcPr>
          <w:p w14:paraId="5A245DA4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402939A4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523" w:type="dxa"/>
            <w:vAlign w:val="center"/>
          </w:tcPr>
          <w:p w14:paraId="089512FC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 w:hint="eastAsia"/>
              </w:rPr>
              <w:t>無法執行勤務</w:t>
            </w:r>
          </w:p>
          <w:p w14:paraId="5A060F2F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失能風險</w:t>
            </w:r>
            <w:r w:rsidRPr="00CB7105">
              <w:rPr>
                <w:rFonts w:eastAsia="標楷體" w:cstheme="minorHAnsi" w:hint="eastAsia"/>
              </w:rPr>
              <w:t>(</w:t>
            </w:r>
            <w:r w:rsidRPr="00CB7105">
              <w:rPr>
                <w:rFonts w:eastAsia="標楷體" w:cstheme="minorHAnsi" w:hint="eastAsia"/>
              </w:rPr>
              <w:t>視力</w:t>
            </w:r>
            <w:r w:rsidRPr="00CB7105">
              <w:rPr>
                <w:rFonts w:eastAsia="標楷體" w:cstheme="minorHAnsi" w:hint="eastAsia"/>
              </w:rPr>
              <w:t>)</w:t>
            </w:r>
          </w:p>
        </w:tc>
      </w:tr>
      <w:tr w:rsidR="00A40EDC" w:rsidRPr="00CB7105" w14:paraId="52B05A75" w14:textId="77777777" w:rsidTr="004F5D43">
        <w:tc>
          <w:tcPr>
            <w:tcW w:w="1271" w:type="dxa"/>
            <w:vMerge/>
            <w:vAlign w:val="center"/>
          </w:tcPr>
          <w:p w14:paraId="3EC2F5EC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</w:p>
        </w:tc>
        <w:tc>
          <w:tcPr>
            <w:tcW w:w="2161" w:type="dxa"/>
            <w:vAlign w:val="center"/>
          </w:tcPr>
          <w:p w14:paraId="5861270A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眼壓</w:t>
            </w:r>
            <w:r w:rsidRPr="00CB7105">
              <w:rPr>
                <w:rFonts w:eastAsia="標楷體" w:cstheme="minorHAnsi"/>
              </w:rPr>
              <w:t>&gt;25mmHg</w:t>
            </w:r>
            <w:r w:rsidRPr="00CB7105">
              <w:rPr>
                <w:rFonts w:eastAsia="標楷體" w:cstheme="minorHAnsi"/>
              </w:rPr>
              <w:t>，未確定疾病者</w:t>
            </w:r>
          </w:p>
        </w:tc>
        <w:tc>
          <w:tcPr>
            <w:tcW w:w="2162" w:type="dxa"/>
            <w:vAlign w:val="center"/>
          </w:tcPr>
          <w:p w14:paraId="22238F5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493EB4E0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05ADDF0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523" w:type="dxa"/>
            <w:vAlign w:val="center"/>
          </w:tcPr>
          <w:p w14:paraId="7A51C75C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 w:hint="eastAsia"/>
              </w:rPr>
              <w:t>無法執行勤務</w:t>
            </w:r>
          </w:p>
          <w:p w14:paraId="2E5A20FD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失能風險</w:t>
            </w:r>
            <w:r w:rsidRPr="00CB7105">
              <w:rPr>
                <w:rFonts w:eastAsia="標楷體" w:cstheme="minorHAnsi" w:hint="eastAsia"/>
              </w:rPr>
              <w:t>(</w:t>
            </w:r>
            <w:r w:rsidRPr="00CB7105">
              <w:rPr>
                <w:rFonts w:eastAsia="標楷體" w:cstheme="minorHAnsi" w:hint="eastAsia"/>
              </w:rPr>
              <w:t>青光眼</w:t>
            </w:r>
            <w:r w:rsidRPr="00CB7105">
              <w:rPr>
                <w:rFonts w:eastAsia="標楷體" w:cstheme="minorHAnsi"/>
              </w:rPr>
              <w:t>、</w:t>
            </w:r>
            <w:r w:rsidRPr="00CB7105">
              <w:rPr>
                <w:rFonts w:eastAsia="標楷體" w:cstheme="minorHAnsi" w:hint="eastAsia"/>
              </w:rPr>
              <w:t>頭痛</w:t>
            </w:r>
            <w:r w:rsidRPr="00CB7105">
              <w:rPr>
                <w:rFonts w:eastAsia="標楷體" w:cstheme="minorHAnsi" w:hint="eastAsia"/>
              </w:rPr>
              <w:t>)</w:t>
            </w:r>
          </w:p>
        </w:tc>
      </w:tr>
      <w:tr w:rsidR="00A40EDC" w:rsidRPr="00CB7105" w14:paraId="63E7111D" w14:textId="77777777" w:rsidTr="004F5D43">
        <w:tc>
          <w:tcPr>
            <w:tcW w:w="1271" w:type="dxa"/>
            <w:vAlign w:val="center"/>
          </w:tcPr>
          <w:p w14:paraId="528B1E75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聽力異常</w:t>
            </w:r>
          </w:p>
        </w:tc>
        <w:tc>
          <w:tcPr>
            <w:tcW w:w="2161" w:type="dxa"/>
            <w:vAlign w:val="center"/>
          </w:tcPr>
          <w:p w14:paraId="3E1C542F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 w:hint="eastAsia"/>
              </w:rPr>
              <w:t>音頻</w:t>
            </w:r>
            <w:r w:rsidRPr="00CB7105">
              <w:rPr>
                <w:rFonts w:eastAsia="標楷體" w:cstheme="minorHAnsi" w:hint="eastAsia"/>
              </w:rPr>
              <w:t>500-1000, 2000</w:t>
            </w:r>
            <w:r w:rsidRPr="00CB7105">
              <w:rPr>
                <w:rFonts w:eastAsia="標楷體" w:cstheme="minorHAnsi" w:hint="eastAsia"/>
              </w:rPr>
              <w:t>，平均值</w:t>
            </w:r>
            <w:proofErr w:type="gramStart"/>
            <w:r w:rsidRPr="00CB7105">
              <w:rPr>
                <w:rFonts w:eastAsia="標楷體" w:cstheme="minorHAnsi" w:hint="eastAsia"/>
              </w:rPr>
              <w:t>﹥</w:t>
            </w:r>
            <w:proofErr w:type="gramEnd"/>
            <w:r w:rsidRPr="00CB7105">
              <w:rPr>
                <w:rFonts w:eastAsia="標楷體" w:cstheme="minorHAnsi" w:hint="eastAsia"/>
              </w:rPr>
              <w:t>50 dB</w:t>
            </w:r>
          </w:p>
        </w:tc>
        <w:tc>
          <w:tcPr>
            <w:tcW w:w="2162" w:type="dxa"/>
            <w:vAlign w:val="center"/>
          </w:tcPr>
          <w:p w14:paraId="5FD65535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 w:hint="eastAsia"/>
              </w:rPr>
              <w:t>音頻</w:t>
            </w:r>
            <w:r w:rsidRPr="00CB7105">
              <w:rPr>
                <w:rFonts w:eastAsia="標楷體" w:cstheme="minorHAnsi" w:hint="eastAsia"/>
              </w:rPr>
              <w:t>500-1000, 2000</w:t>
            </w:r>
            <w:r w:rsidRPr="00CB7105">
              <w:rPr>
                <w:rFonts w:eastAsia="標楷體" w:cstheme="minorHAnsi" w:hint="eastAsia"/>
              </w:rPr>
              <w:t>，平均值</w:t>
            </w:r>
            <w:proofErr w:type="gramStart"/>
            <w:r w:rsidRPr="00CB7105">
              <w:rPr>
                <w:rFonts w:eastAsia="標楷體" w:cstheme="minorHAnsi" w:hint="eastAsia"/>
              </w:rPr>
              <w:t>﹥</w:t>
            </w:r>
            <w:proofErr w:type="gramEnd"/>
            <w:r w:rsidRPr="00CB7105">
              <w:rPr>
                <w:rFonts w:eastAsia="標楷體" w:cstheme="minorHAnsi" w:hint="eastAsia"/>
              </w:rPr>
              <w:t>40 dB</w:t>
            </w:r>
          </w:p>
        </w:tc>
        <w:tc>
          <w:tcPr>
            <w:tcW w:w="2162" w:type="dxa"/>
            <w:vAlign w:val="center"/>
          </w:tcPr>
          <w:p w14:paraId="3C8FACB1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6EE0E55A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523" w:type="dxa"/>
            <w:vAlign w:val="center"/>
          </w:tcPr>
          <w:p w14:paraId="44CBB2D8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 w:hint="eastAsia"/>
              </w:rPr>
              <w:t>無法執行勤務</w:t>
            </w:r>
          </w:p>
          <w:p w14:paraId="5598D9C4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 w:hint="eastAsia"/>
              </w:rPr>
              <w:t>溝通障礙</w:t>
            </w:r>
          </w:p>
        </w:tc>
      </w:tr>
      <w:tr w:rsidR="00A40EDC" w:rsidRPr="00CB7105" w14:paraId="273C6B4F" w14:textId="77777777" w:rsidTr="004F5D43">
        <w:tc>
          <w:tcPr>
            <w:tcW w:w="1271" w:type="dxa"/>
            <w:vAlign w:val="center"/>
          </w:tcPr>
          <w:p w14:paraId="3288685E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昏厥或暈厥</w:t>
            </w:r>
          </w:p>
        </w:tc>
        <w:tc>
          <w:tcPr>
            <w:tcW w:w="2161" w:type="dxa"/>
            <w:vAlign w:val="center"/>
          </w:tcPr>
          <w:p w14:paraId="3618A807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昏厥病史</w:t>
            </w:r>
          </w:p>
        </w:tc>
        <w:tc>
          <w:tcPr>
            <w:tcW w:w="2162" w:type="dxa"/>
            <w:vAlign w:val="center"/>
          </w:tcPr>
          <w:p w14:paraId="6AF2F220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053FB0D0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776EC059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暈厥</w:t>
            </w:r>
            <w:r w:rsidRPr="00CB7105">
              <w:rPr>
                <w:rFonts w:eastAsia="標楷體" w:cstheme="minorHAnsi"/>
              </w:rPr>
              <w:t>,</w:t>
            </w:r>
            <w:r w:rsidRPr="00CB7105">
              <w:rPr>
                <w:rFonts w:eastAsia="標楷體" w:cstheme="minorHAnsi"/>
              </w:rPr>
              <w:t>原因待查</w:t>
            </w:r>
          </w:p>
        </w:tc>
        <w:tc>
          <w:tcPr>
            <w:tcW w:w="2523" w:type="dxa"/>
            <w:vAlign w:val="center"/>
          </w:tcPr>
          <w:p w14:paraId="6ED61DA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突發性失能</w:t>
            </w:r>
            <w:proofErr w:type="gramEnd"/>
          </w:p>
        </w:tc>
      </w:tr>
      <w:tr w:rsidR="00A40EDC" w:rsidRPr="00CB7105" w14:paraId="4E00E961" w14:textId="77777777" w:rsidTr="004F5D43">
        <w:tc>
          <w:tcPr>
            <w:tcW w:w="1271" w:type="dxa"/>
            <w:vAlign w:val="center"/>
          </w:tcPr>
          <w:p w14:paraId="53ED6EDE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  <w:b/>
              </w:rPr>
            </w:pPr>
            <w:r w:rsidRPr="00CB7105">
              <w:rPr>
                <w:rFonts w:eastAsia="標楷體" w:cstheme="minorHAnsi"/>
                <w:b/>
              </w:rPr>
              <w:t>氣胸</w:t>
            </w:r>
          </w:p>
        </w:tc>
        <w:tc>
          <w:tcPr>
            <w:tcW w:w="2161" w:type="dxa"/>
            <w:vAlign w:val="center"/>
          </w:tcPr>
          <w:p w14:paraId="56C32B31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r w:rsidRPr="00CB7105">
              <w:rPr>
                <w:rFonts w:eastAsia="標楷體" w:cstheme="minorHAnsi"/>
              </w:rPr>
              <w:t>自發性氣胸病史</w:t>
            </w:r>
          </w:p>
        </w:tc>
        <w:tc>
          <w:tcPr>
            <w:tcW w:w="2162" w:type="dxa"/>
            <w:vAlign w:val="center"/>
          </w:tcPr>
          <w:p w14:paraId="185CC9E6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3ABA40E4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162" w:type="dxa"/>
            <w:vAlign w:val="center"/>
          </w:tcPr>
          <w:p w14:paraId="1658377C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</w:p>
        </w:tc>
        <w:tc>
          <w:tcPr>
            <w:tcW w:w="2523" w:type="dxa"/>
            <w:vAlign w:val="center"/>
          </w:tcPr>
          <w:p w14:paraId="51553C8E" w14:textId="77777777" w:rsidR="00A40EDC" w:rsidRPr="00CB7105" w:rsidRDefault="00A40EDC" w:rsidP="004F5D43">
            <w:pPr>
              <w:spacing w:line="0" w:lineRule="atLeast"/>
              <w:rPr>
                <w:rFonts w:eastAsia="標楷體" w:cstheme="minorHAnsi"/>
              </w:rPr>
            </w:pPr>
            <w:proofErr w:type="gramStart"/>
            <w:r w:rsidRPr="00CB7105">
              <w:rPr>
                <w:rFonts w:eastAsia="標楷體" w:cstheme="minorHAnsi"/>
              </w:rPr>
              <w:t>突發性失能</w:t>
            </w:r>
            <w:proofErr w:type="gramEnd"/>
          </w:p>
        </w:tc>
      </w:tr>
    </w:tbl>
    <w:p w14:paraId="2D5DF0FD" w14:textId="77777777" w:rsidR="00EE2BAD" w:rsidRDefault="00EE2BAD"/>
    <w:sectPr w:rsidR="00EE2BAD" w:rsidSect="00A40E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2024" w14:textId="77777777" w:rsidR="0071582D" w:rsidRDefault="0071582D" w:rsidP="00A40EDC">
      <w:r>
        <w:separator/>
      </w:r>
    </w:p>
  </w:endnote>
  <w:endnote w:type="continuationSeparator" w:id="0">
    <w:p w14:paraId="1EBA54DD" w14:textId="77777777" w:rsidR="0071582D" w:rsidRDefault="0071582D" w:rsidP="00A4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FBFD5" w14:textId="77777777" w:rsidR="0071582D" w:rsidRDefault="0071582D" w:rsidP="00A40EDC">
      <w:r>
        <w:separator/>
      </w:r>
    </w:p>
  </w:footnote>
  <w:footnote w:type="continuationSeparator" w:id="0">
    <w:p w14:paraId="0D2813F3" w14:textId="77777777" w:rsidR="0071582D" w:rsidRDefault="0071582D" w:rsidP="00A4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DC"/>
    <w:rsid w:val="00702937"/>
    <w:rsid w:val="0071582D"/>
    <w:rsid w:val="00796DFD"/>
    <w:rsid w:val="00A40EDC"/>
    <w:rsid w:val="00A6782C"/>
    <w:rsid w:val="00E803CE"/>
    <w:rsid w:val="00EE2BAD"/>
    <w:rsid w:val="00F2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CBD9D"/>
  <w15:chartTrackingRefBased/>
  <w15:docId w15:val="{0F140F48-5F36-4B64-966C-CBA4B69F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E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0E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0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0EDC"/>
    <w:rPr>
      <w:sz w:val="20"/>
      <w:szCs w:val="20"/>
    </w:rPr>
  </w:style>
  <w:style w:type="table" w:styleId="a7">
    <w:name w:val="Table Grid"/>
    <w:basedOn w:val="a1"/>
    <w:uiPriority w:val="39"/>
    <w:rsid w:val="00A40E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drcp</dc:creator>
  <cp:keywords/>
  <dc:description/>
  <cp:lastModifiedBy>drcp</cp:lastModifiedBy>
  <cp:revision>3</cp:revision>
  <dcterms:created xsi:type="dcterms:W3CDTF">2023-10-24T03:00:00Z</dcterms:created>
  <dcterms:modified xsi:type="dcterms:W3CDTF">2023-10-31T05:21:00Z</dcterms:modified>
</cp:coreProperties>
</file>